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1AB1" w14:textId="0ABE0264" w:rsidR="009B0921" w:rsidRDefault="009B0921" w:rsidP="009B0921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Contrato Nº 06/2023 - </w:t>
      </w:r>
      <w:r w:rsidRPr="00563279">
        <w:rPr>
          <w:rFonts w:asciiTheme="minorHAnsi" w:hAnsiTheme="minorHAnsi" w:cstheme="minorHAnsi"/>
          <w:b/>
          <w:bCs/>
          <w:sz w:val="24"/>
          <w:szCs w:val="24"/>
        </w:rPr>
        <w:t>serviço de colocação de molduras com fornecimento de materiais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8D1E5EB" w14:textId="77777777" w:rsidR="009B0921" w:rsidRDefault="009B0921" w:rsidP="009B092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Pregão Presencial Nº 30/2022</w:t>
      </w:r>
    </w:p>
    <w:p w14:paraId="276E5EAF" w14:textId="239B22E9" w:rsidR="009B0921" w:rsidRDefault="009B0921" w:rsidP="009B092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Processo Nº 69</w:t>
      </w:r>
      <w:r w:rsidR="00D76545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/2022</w:t>
      </w:r>
    </w:p>
    <w:p w14:paraId="50333238" w14:textId="243AA753" w:rsidR="009B0921" w:rsidRDefault="009B0921" w:rsidP="009B0921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Contratante: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E156D7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571A7598" w14:textId="3A479549" w:rsidR="009B0921" w:rsidRDefault="009B0921" w:rsidP="009B0921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Contratada: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B0921">
        <w:rPr>
          <w:rFonts w:asciiTheme="minorHAnsi" w:hAnsiTheme="minorHAnsi" w:cstheme="minorHAnsi"/>
          <w:bCs/>
          <w:sz w:val="24"/>
          <w:szCs w:val="24"/>
        </w:rPr>
        <w:t>ARTES E MANHAS COMERCIO DE MOLDURAS LTDA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Inscrita no CNPJ </w:t>
      </w:r>
      <w:r w:rsidRPr="004A0F50">
        <w:rPr>
          <w:rFonts w:asciiTheme="minorHAnsi" w:hAnsiTheme="minorHAnsi" w:cstheme="minorHAnsi"/>
          <w:bCs/>
          <w:sz w:val="24"/>
          <w:szCs w:val="24"/>
        </w:rPr>
        <w:t>30.872.521/0001-08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, Inscrição Estadual nº </w:t>
      </w:r>
      <w:r w:rsidRPr="004A0F50">
        <w:rPr>
          <w:rFonts w:asciiTheme="minorHAnsi" w:hAnsiTheme="minorHAnsi" w:cstheme="minorHAnsi"/>
          <w:bCs/>
          <w:sz w:val="24"/>
          <w:szCs w:val="24"/>
        </w:rPr>
        <w:t>535.701.463.113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, estabelecida à </w:t>
      </w:r>
      <w:r w:rsidRPr="004A0F50">
        <w:rPr>
          <w:rFonts w:asciiTheme="minorHAnsi" w:hAnsiTheme="minorHAnsi" w:cstheme="minorHAnsi"/>
          <w:bCs/>
          <w:sz w:val="24"/>
          <w:szCs w:val="24"/>
        </w:rPr>
        <w:t>AVENIDA MANOEL CONCEICAO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, bairro </w:t>
      </w:r>
      <w:r w:rsidRPr="004A0F50">
        <w:rPr>
          <w:rFonts w:asciiTheme="minorHAnsi" w:hAnsiTheme="minorHAnsi" w:cstheme="minorHAnsi"/>
          <w:bCs/>
          <w:sz w:val="24"/>
          <w:szCs w:val="24"/>
        </w:rPr>
        <w:t>VILA REZENDE</w:t>
      </w:r>
      <w:r>
        <w:rPr>
          <w:rFonts w:asciiTheme="minorHAnsi" w:hAnsiTheme="minorHAnsi" w:cstheme="minorHAnsi"/>
          <w:bCs/>
          <w:sz w:val="24"/>
          <w:szCs w:val="24"/>
        </w:rPr>
        <w:t>, Piracicaba</w:t>
      </w:r>
      <w:r w:rsidRPr="00D4480E">
        <w:rPr>
          <w:rFonts w:asciiTheme="minorHAnsi" w:hAnsiTheme="minorHAnsi" w:cstheme="minorHAnsi"/>
          <w:bCs/>
          <w:sz w:val="24"/>
          <w:szCs w:val="24"/>
        </w:rPr>
        <w:t>, Estado</w:t>
      </w:r>
      <w:r>
        <w:rPr>
          <w:rFonts w:asciiTheme="minorHAnsi" w:hAnsiTheme="minorHAnsi" w:cstheme="minorHAnsi"/>
          <w:bCs/>
          <w:sz w:val="24"/>
          <w:szCs w:val="24"/>
        </w:rPr>
        <w:t xml:space="preserve"> de São Paulo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, neste ato representada pelo Senhor </w:t>
      </w:r>
      <w:r w:rsidRPr="004A0F50">
        <w:rPr>
          <w:rFonts w:asciiTheme="minorHAnsi" w:hAnsiTheme="minorHAnsi" w:cstheme="minorHAnsi"/>
          <w:bCs/>
          <w:sz w:val="24"/>
          <w:szCs w:val="24"/>
        </w:rPr>
        <w:t xml:space="preserve">Leandro </w:t>
      </w:r>
      <w:proofErr w:type="spellStart"/>
      <w:r w:rsidRPr="004A0F50">
        <w:rPr>
          <w:rFonts w:asciiTheme="minorHAnsi" w:hAnsiTheme="minorHAnsi" w:cstheme="minorHAnsi"/>
          <w:bCs/>
          <w:sz w:val="24"/>
          <w:szCs w:val="24"/>
        </w:rPr>
        <w:t>Detoni</w:t>
      </w:r>
      <w:proofErr w:type="spellEnd"/>
      <w:r w:rsidRPr="004A0F50">
        <w:rPr>
          <w:rFonts w:asciiTheme="minorHAnsi" w:hAnsiTheme="minorHAnsi" w:cstheme="minorHAnsi"/>
          <w:bCs/>
          <w:sz w:val="24"/>
          <w:szCs w:val="24"/>
        </w:rPr>
        <w:t xml:space="preserve"> Barbosa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portador do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 CPF nº </w:t>
      </w:r>
      <w:r>
        <w:rPr>
          <w:rFonts w:asciiTheme="minorHAnsi" w:hAnsiTheme="minorHAnsi" w:cstheme="minorHAnsi"/>
          <w:bCs/>
          <w:sz w:val="24"/>
          <w:szCs w:val="24"/>
        </w:rPr>
        <w:t>374.723.078-40</w:t>
      </w:r>
    </w:p>
    <w:p w14:paraId="2D1E2D99" w14:textId="77777777" w:rsidR="009B0921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Objeto</w:t>
      </w:r>
    </w:p>
    <w:p w14:paraId="79C81734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 xml:space="preserve">O presente Contrato tem como finalidade a Prestação de serviços de colocação de molduras em madeira com fornecimento de material nos documentos oficiais da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 de Piracicaba, conforme especificações a seguir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Style w:val="TableGrid"/>
        <w:tblW w:w="10791" w:type="dxa"/>
        <w:tblInd w:w="-1196" w:type="dxa"/>
        <w:tblLook w:val="04A0" w:firstRow="1" w:lastRow="0" w:firstColumn="1" w:lastColumn="0" w:noHBand="0" w:noVBand="1"/>
      </w:tblPr>
      <w:tblGrid>
        <w:gridCol w:w="843"/>
        <w:gridCol w:w="1985"/>
        <w:gridCol w:w="904"/>
        <w:gridCol w:w="965"/>
        <w:gridCol w:w="1074"/>
        <w:gridCol w:w="1645"/>
        <w:gridCol w:w="1321"/>
        <w:gridCol w:w="2054"/>
      </w:tblGrid>
      <w:tr w:rsidR="009B0921" w14:paraId="4A347799" w14:textId="77777777" w:rsidTr="009B0921">
        <w:trPr>
          <w:trHeight w:val="473"/>
        </w:trPr>
        <w:tc>
          <w:tcPr>
            <w:tcW w:w="843" w:type="dxa"/>
            <w:shd w:val="clear" w:color="auto" w:fill="E0E0E0"/>
          </w:tcPr>
          <w:p w14:paraId="0C2F10D1" w14:textId="77777777" w:rsidR="009B0921" w:rsidRPr="002D069A" w:rsidRDefault="009B0921" w:rsidP="00152B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85" w:type="dxa"/>
            <w:shd w:val="clear" w:color="auto" w:fill="E0E0E0"/>
          </w:tcPr>
          <w:p w14:paraId="04A4DD33" w14:textId="77777777" w:rsidR="009B0921" w:rsidRPr="002D069A" w:rsidRDefault="009B0921" w:rsidP="00152B2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Codigo</w:t>
            </w:r>
            <w:proofErr w:type="spellEnd"/>
          </w:p>
        </w:tc>
        <w:tc>
          <w:tcPr>
            <w:tcW w:w="904" w:type="dxa"/>
            <w:shd w:val="clear" w:color="auto" w:fill="E0E0E0"/>
          </w:tcPr>
          <w:p w14:paraId="43C694A4" w14:textId="77777777" w:rsidR="009B0921" w:rsidRPr="002D069A" w:rsidRDefault="009B0921" w:rsidP="00152B2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965" w:type="dxa"/>
            <w:shd w:val="clear" w:color="auto" w:fill="E0E0E0"/>
          </w:tcPr>
          <w:p w14:paraId="34412A60" w14:textId="77777777" w:rsidR="009B0921" w:rsidRPr="002D069A" w:rsidRDefault="009B0921" w:rsidP="00152B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1074" w:type="dxa"/>
            <w:shd w:val="clear" w:color="auto" w:fill="E0E0E0"/>
          </w:tcPr>
          <w:p w14:paraId="430373B3" w14:textId="77777777" w:rsidR="009B0921" w:rsidRPr="002D069A" w:rsidRDefault="009B0921" w:rsidP="00152B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645" w:type="dxa"/>
            <w:shd w:val="clear" w:color="auto" w:fill="E0E0E0"/>
          </w:tcPr>
          <w:p w14:paraId="767A7729" w14:textId="77777777" w:rsidR="009B0921" w:rsidRPr="002D069A" w:rsidRDefault="009B0921" w:rsidP="00152B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321" w:type="dxa"/>
            <w:shd w:val="clear" w:color="auto" w:fill="E0E0E0"/>
          </w:tcPr>
          <w:p w14:paraId="533A57A1" w14:textId="77777777" w:rsidR="009B0921" w:rsidRPr="002D069A" w:rsidRDefault="009B0921" w:rsidP="00152B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2051" w:type="dxa"/>
            <w:shd w:val="clear" w:color="auto" w:fill="E0E0E0"/>
          </w:tcPr>
          <w:p w14:paraId="00409F86" w14:textId="77777777" w:rsidR="009B0921" w:rsidRPr="002D069A" w:rsidRDefault="009B0921" w:rsidP="00152B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B0921" w14:paraId="19C8405D" w14:textId="77777777" w:rsidTr="009B0921">
        <w:trPr>
          <w:trHeight w:val="1692"/>
        </w:trPr>
        <w:tc>
          <w:tcPr>
            <w:tcW w:w="843" w:type="dxa"/>
          </w:tcPr>
          <w:p w14:paraId="59DD10F5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0E07035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1.04.05.0015-0</w:t>
            </w:r>
          </w:p>
        </w:tc>
        <w:tc>
          <w:tcPr>
            <w:tcW w:w="904" w:type="dxa"/>
          </w:tcPr>
          <w:p w14:paraId="0D3D55A2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960</w:t>
            </w:r>
          </w:p>
        </w:tc>
        <w:tc>
          <w:tcPr>
            <w:tcW w:w="965" w:type="dxa"/>
          </w:tcPr>
          <w:p w14:paraId="050ADA0F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074" w:type="dxa"/>
          </w:tcPr>
          <w:p w14:paraId="0C5C1964" w14:textId="405B1EF1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Artes e Manhas</w:t>
            </w:r>
          </w:p>
        </w:tc>
        <w:tc>
          <w:tcPr>
            <w:tcW w:w="1645" w:type="dxa"/>
          </w:tcPr>
          <w:p w14:paraId="4446BDB0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Moldura de Madeira, cor Preta, com vidro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antireflexo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2mm.</w:t>
            </w:r>
          </w:p>
        </w:tc>
        <w:tc>
          <w:tcPr>
            <w:tcW w:w="1321" w:type="dxa"/>
          </w:tcPr>
          <w:p w14:paraId="68E7D0CB" w14:textId="6086FB45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R$ 80,00</w:t>
            </w:r>
          </w:p>
        </w:tc>
        <w:tc>
          <w:tcPr>
            <w:tcW w:w="2051" w:type="dxa"/>
          </w:tcPr>
          <w:p w14:paraId="2041DD01" w14:textId="1F1ACED5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R$ 76.800,00</w:t>
            </w:r>
          </w:p>
        </w:tc>
      </w:tr>
      <w:tr w:rsidR="009B0921" w14:paraId="10F651B1" w14:textId="77777777" w:rsidTr="009B0921">
        <w:trPr>
          <w:trHeight w:val="717"/>
        </w:trPr>
        <w:tc>
          <w:tcPr>
            <w:tcW w:w="10791" w:type="dxa"/>
            <w:gridSpan w:val="8"/>
          </w:tcPr>
          <w:p w14:paraId="3259F0D3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Moldura de Madeira, cor Preta, nas Dimensões: 1,40cm x 2,30cm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AxL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- com vidro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antireflexo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2mm</w:t>
            </w:r>
          </w:p>
          <w:p w14:paraId="3F789B9B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documento oficial na medida A3 (297mm x 420mm)</w:t>
            </w:r>
          </w:p>
        </w:tc>
      </w:tr>
      <w:tr w:rsidR="009B0921" w14:paraId="33603376" w14:textId="77777777" w:rsidTr="009B0921">
        <w:trPr>
          <w:trHeight w:val="1448"/>
        </w:trPr>
        <w:tc>
          <w:tcPr>
            <w:tcW w:w="843" w:type="dxa"/>
          </w:tcPr>
          <w:p w14:paraId="54A8B89C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67BF132F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1.04.05.0016-9</w:t>
            </w:r>
          </w:p>
        </w:tc>
        <w:tc>
          <w:tcPr>
            <w:tcW w:w="904" w:type="dxa"/>
          </w:tcPr>
          <w:p w14:paraId="284FDC19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65" w:type="dxa"/>
          </w:tcPr>
          <w:p w14:paraId="1ABB85BF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074" w:type="dxa"/>
          </w:tcPr>
          <w:p w14:paraId="2706C1FC" w14:textId="3900EF01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Artes e Manhas</w:t>
            </w:r>
          </w:p>
        </w:tc>
        <w:tc>
          <w:tcPr>
            <w:tcW w:w="1645" w:type="dxa"/>
          </w:tcPr>
          <w:p w14:paraId="494CB2F8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Moldura de Alumínio, com vidro antirreflexo de 2mm</w:t>
            </w:r>
          </w:p>
        </w:tc>
        <w:tc>
          <w:tcPr>
            <w:tcW w:w="1321" w:type="dxa"/>
          </w:tcPr>
          <w:p w14:paraId="1E7AA671" w14:textId="0872413B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R$ 130,00</w:t>
            </w:r>
          </w:p>
        </w:tc>
        <w:tc>
          <w:tcPr>
            <w:tcW w:w="2051" w:type="dxa"/>
          </w:tcPr>
          <w:p w14:paraId="6250086D" w14:textId="341D03A3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R$ 2.600,00</w:t>
            </w:r>
          </w:p>
        </w:tc>
      </w:tr>
      <w:tr w:rsidR="009B0921" w14:paraId="4C2A5C9F" w14:textId="77777777" w:rsidTr="009B0921">
        <w:trPr>
          <w:trHeight w:val="717"/>
        </w:trPr>
        <w:tc>
          <w:tcPr>
            <w:tcW w:w="10791" w:type="dxa"/>
            <w:gridSpan w:val="8"/>
          </w:tcPr>
          <w:p w14:paraId="0CA304FF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Moldura de Alumínio, nas Dimensões: 29,5cm x 38,5cm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AxL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- com vidro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antireflexo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2mm</w:t>
            </w:r>
          </w:p>
          <w:p w14:paraId="650356EB" w14:textId="77777777" w:rsidR="009B0921" w:rsidRDefault="009B0921" w:rsidP="00152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documento oficial na medida A4 (297mm x 210mm)</w:t>
            </w:r>
          </w:p>
        </w:tc>
      </w:tr>
    </w:tbl>
    <w:p w14:paraId="10302525" w14:textId="77777777" w:rsidR="009B0921" w:rsidRDefault="009B0921" w:rsidP="009B0921">
      <w:pPr>
        <w:pStyle w:val="ListParagraph"/>
        <w:spacing w:after="160" w:line="259" w:lineRule="auto"/>
        <w:ind w:left="792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0DA6B4" w14:textId="77777777" w:rsidR="009B0921" w:rsidRPr="00D4480E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480E">
        <w:rPr>
          <w:rFonts w:asciiTheme="minorHAnsi" w:hAnsiTheme="minorHAnsi" w:cstheme="minorHAnsi"/>
          <w:b/>
          <w:bCs/>
          <w:sz w:val="24"/>
          <w:szCs w:val="24"/>
        </w:rPr>
        <w:t>Cláusula Segunda – Recursos Financeiros</w:t>
      </w:r>
    </w:p>
    <w:p w14:paraId="00C10BF4" w14:textId="3C99455C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>A CONTRATANTE pagará à CONTRATADA o valor total de R$</w:t>
      </w:r>
      <w:r w:rsidR="0033489A">
        <w:rPr>
          <w:rFonts w:asciiTheme="minorHAnsi" w:hAnsiTheme="minorHAnsi" w:cstheme="minorHAnsi"/>
          <w:bCs/>
          <w:sz w:val="24"/>
          <w:szCs w:val="24"/>
        </w:rPr>
        <w:t xml:space="preserve"> 79.400,00 (Setenta e nove mil e quatrocentos reais)</w:t>
      </w:r>
    </w:p>
    <w:p w14:paraId="08F44AD6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lastRenderedPageBreak/>
        <w:t>As despesas decorrentes da contratação, objeto desta licitação, correrão por conta da dotação orçamentária n.º 01.031.0001.2.373 3.3.90.30 Outros Materiais de consumo, constante para o exercício de 202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 e seguintes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EE7BA41" w14:textId="77777777" w:rsidR="009B0921" w:rsidRPr="00D4480E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480E">
        <w:rPr>
          <w:rFonts w:asciiTheme="minorHAnsi" w:hAnsiTheme="minorHAnsi" w:cstheme="minorHAnsi"/>
          <w:b/>
          <w:bCs/>
          <w:sz w:val="24"/>
          <w:szCs w:val="24"/>
        </w:rPr>
        <w:t>Cláusula Terceira – Suporte Legal</w:t>
      </w:r>
    </w:p>
    <w:p w14:paraId="3AE10BAB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Este Contrato é regulado pelos seguintes dispositivos legais:</w:t>
      </w:r>
    </w:p>
    <w:p w14:paraId="66897C38" w14:textId="77777777" w:rsidR="009B0921" w:rsidRDefault="009B0921" w:rsidP="009B0921">
      <w:pPr>
        <w:pStyle w:val="ListParagraph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>Lei Orgânica do Município de Piracicaba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436F5173" w14:textId="77777777" w:rsidR="009B0921" w:rsidRDefault="009B0921" w:rsidP="009B0921">
      <w:pPr>
        <w:pStyle w:val="ListParagraph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>Lei Federal nº 10.520/02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20949234" w14:textId="77777777" w:rsidR="009B0921" w:rsidRDefault="009B0921" w:rsidP="009B0921">
      <w:pPr>
        <w:pStyle w:val="ListParagraph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>Resolução n.º 08/05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7EB99E2B" w14:textId="77777777" w:rsidR="009B0921" w:rsidRDefault="009B0921" w:rsidP="009B0921">
      <w:pPr>
        <w:pStyle w:val="ListParagraph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Lei Federal Nº 8.666/93</w:t>
      </w:r>
    </w:p>
    <w:p w14:paraId="31F5CA30" w14:textId="77777777" w:rsidR="009B0921" w:rsidRDefault="009B0921" w:rsidP="009B0921">
      <w:pPr>
        <w:pStyle w:val="ListParagraph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Lei Complementar Nº 123/06</w:t>
      </w:r>
    </w:p>
    <w:p w14:paraId="3D5A62F0" w14:textId="77777777" w:rsidR="009B0921" w:rsidRPr="00D4480E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480E">
        <w:rPr>
          <w:rFonts w:asciiTheme="minorHAnsi" w:hAnsiTheme="minorHAnsi" w:cstheme="minorHAnsi"/>
          <w:b/>
          <w:bCs/>
          <w:sz w:val="24"/>
          <w:szCs w:val="24"/>
        </w:rPr>
        <w:t>Cláusula Quarta – Administração e prazo de vigência do contrato</w:t>
      </w:r>
    </w:p>
    <w:p w14:paraId="4F926050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 Departamento de Comunicação responsabilizar-se-á pela administração do contrato, através de setor designado.</w:t>
      </w:r>
    </w:p>
    <w:p w14:paraId="3D85AFB5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>O Contrato a ser firmado terá vigência pelo período de 12 meses contados a partir data de sua assinatu</w:t>
      </w:r>
      <w:r>
        <w:rPr>
          <w:rFonts w:asciiTheme="minorHAnsi" w:hAnsiTheme="minorHAnsi" w:cstheme="minorHAnsi"/>
          <w:bCs/>
          <w:sz w:val="24"/>
          <w:szCs w:val="24"/>
        </w:rPr>
        <w:t>ra.</w:t>
      </w:r>
    </w:p>
    <w:p w14:paraId="4CB29A01" w14:textId="77777777" w:rsidR="009B0921" w:rsidRPr="00D4480E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480E">
        <w:rPr>
          <w:rFonts w:asciiTheme="minorHAnsi" w:hAnsiTheme="minorHAnsi" w:cstheme="minorHAnsi"/>
          <w:b/>
          <w:bCs/>
          <w:sz w:val="24"/>
          <w:szCs w:val="24"/>
        </w:rPr>
        <w:t>Cláusula Quinta – Pessoal</w:t>
      </w:r>
    </w:p>
    <w:p w14:paraId="7ACAFDBD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87532A5" w14:textId="77777777" w:rsidR="009B0921" w:rsidRPr="00D4480E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480E">
        <w:rPr>
          <w:rFonts w:asciiTheme="minorHAnsi" w:hAnsiTheme="minorHAnsi" w:cstheme="minorHAnsi"/>
          <w:b/>
          <w:bCs/>
          <w:sz w:val="24"/>
          <w:szCs w:val="24"/>
        </w:rPr>
        <w:t>Cláusula Sexta – Local de entrega e fornecimento</w:t>
      </w:r>
    </w:p>
    <w:p w14:paraId="2324CEDE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 xml:space="preserve">A Contratada obriga-se a entregar as molduras prontas, na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 de Piracicaba, Setor Cerimonial</w:t>
      </w:r>
    </w:p>
    <w:p w14:paraId="5620D5D7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80E">
        <w:rPr>
          <w:rFonts w:asciiTheme="minorHAnsi" w:hAnsiTheme="minorHAnsi" w:cstheme="minorHAnsi"/>
          <w:bCs/>
          <w:sz w:val="24"/>
          <w:szCs w:val="24"/>
        </w:rPr>
        <w:t>As molduras deverão ser do mesmo modelo e padrão apresentados na proposta durante a Sessão Pública</w:t>
      </w:r>
    </w:p>
    <w:p w14:paraId="44B885FA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contratada deverá atender imediatamente à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s solicitações do </w:t>
      </w:r>
      <w:r>
        <w:rPr>
          <w:rFonts w:asciiTheme="minorHAnsi" w:hAnsiTheme="minorHAnsi" w:cstheme="minorHAnsi"/>
          <w:bCs/>
          <w:sz w:val="24"/>
          <w:szCs w:val="24"/>
        </w:rPr>
        <w:t>Setor</w:t>
      </w:r>
      <w:r w:rsidRPr="00D4480E">
        <w:rPr>
          <w:rFonts w:asciiTheme="minorHAnsi" w:hAnsiTheme="minorHAnsi" w:cstheme="minorHAnsi"/>
          <w:bCs/>
          <w:sz w:val="24"/>
          <w:szCs w:val="24"/>
        </w:rPr>
        <w:t xml:space="preserve"> Cerimonial no que diz respeito à data de entrega de molduras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5F89EBC" w14:textId="77777777" w:rsidR="009B0921" w:rsidRPr="009D7A61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7A61">
        <w:rPr>
          <w:rFonts w:asciiTheme="minorHAnsi" w:hAnsiTheme="minorHAnsi" w:cstheme="minorHAnsi"/>
          <w:b/>
          <w:bCs/>
          <w:sz w:val="24"/>
          <w:szCs w:val="24"/>
        </w:rPr>
        <w:t>Cláusula Sétima – Pagamentos</w:t>
      </w:r>
    </w:p>
    <w:p w14:paraId="5DEE871C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A61">
        <w:rPr>
          <w:rFonts w:asciiTheme="minorHAnsi" w:hAnsiTheme="minorHAnsi" w:cstheme="minorHAnsi"/>
          <w:bCs/>
          <w:sz w:val="24"/>
          <w:szCs w:val="24"/>
        </w:rPr>
        <w:t>Os pagamentos serão efetuados</w:t>
      </w:r>
      <w:r>
        <w:rPr>
          <w:rFonts w:asciiTheme="minorHAnsi" w:hAnsiTheme="minorHAnsi" w:cstheme="minorHAnsi"/>
          <w:bCs/>
          <w:sz w:val="24"/>
          <w:szCs w:val="24"/>
        </w:rPr>
        <w:t xml:space="preserve"> em até 15 dias</w:t>
      </w:r>
      <w:r w:rsidRPr="009D7A61">
        <w:rPr>
          <w:rFonts w:asciiTheme="minorHAnsi" w:hAnsiTheme="minorHAnsi" w:cstheme="minorHAnsi"/>
          <w:bCs/>
          <w:sz w:val="24"/>
          <w:szCs w:val="24"/>
        </w:rPr>
        <w:t xml:space="preserve"> após as respectivas entregas das molduras, acompanhado de Nota Fiscal/Fatura, discriminada de acordo com a Nota de Empenho, após a conferência do produto</w:t>
      </w:r>
    </w:p>
    <w:p w14:paraId="22C21DE8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A61">
        <w:rPr>
          <w:rFonts w:asciiTheme="minorHAnsi" w:hAnsiTheme="minorHAnsi" w:cstheme="minorHAnsi"/>
          <w:bCs/>
          <w:sz w:val="24"/>
          <w:szCs w:val="24"/>
        </w:rPr>
        <w:lastRenderedPageBreak/>
        <w:t>O pagamento será creditado em favor do Fornecedor, por meio de ordem bancária, devendo para isto, ficar explicitado o nome do Banco, agência, localidade e número da conta corrente em que deverá ser efetivado o crédito, o qual ocorrerá até 15 (quinze) dias corridos após a entrega das molduras, mediante a aceitação e atesto das Notas Fiscais/Faturas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0C0213DE" w14:textId="77777777" w:rsidR="009B0921" w:rsidRDefault="009B0921" w:rsidP="009B0921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Será procedida consulta on</w:t>
      </w:r>
      <w:r w:rsidRPr="008D0EA2">
        <w:rPr>
          <w:rFonts w:asciiTheme="minorHAnsi" w:hAnsiTheme="minorHAnsi" w:cstheme="minorHAnsi"/>
          <w:sz w:val="24"/>
          <w:szCs w:val="24"/>
        </w:rPr>
        <w:t>line junto aos órgãos correspondentes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antes do pagamento ser efetuado a licitante vencedora, para verificação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situação d</w:t>
      </w:r>
      <w:r>
        <w:rPr>
          <w:rFonts w:asciiTheme="minorHAnsi" w:hAnsiTheme="minorHAnsi" w:cstheme="minorHAnsi"/>
          <w:sz w:val="24"/>
          <w:szCs w:val="24"/>
        </w:rPr>
        <w:t>essa</w:t>
      </w:r>
      <w:r w:rsidRPr="008D0EA2">
        <w:rPr>
          <w:rFonts w:asciiTheme="minorHAnsi" w:hAnsiTheme="minorHAnsi" w:cstheme="minorHAnsi"/>
          <w:sz w:val="24"/>
          <w:szCs w:val="24"/>
        </w:rPr>
        <w:t>, relativamente às condições de habilitação exigidas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Pregão, cujos resultados serão impressos e juntados aos autos do processo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próprio;</w:t>
      </w:r>
    </w:p>
    <w:p w14:paraId="46C0E32C" w14:textId="77777777" w:rsidR="009B0921" w:rsidRPr="002B461F" w:rsidRDefault="009B0921" w:rsidP="009B092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0D7D950" w14:textId="77777777" w:rsidR="009B0921" w:rsidRDefault="009B0921" w:rsidP="009B0921">
      <w:pPr>
        <w:pStyle w:val="ListParagraph"/>
        <w:numPr>
          <w:ilvl w:val="2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 liberação do pagamento estará condicionada a este procedimento, na situação de não apresentação, ou inadimplência, o caso será submetido à procuradoria legislativa para que sejam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aplicadas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os sansões cabíveis.</w:t>
      </w:r>
    </w:p>
    <w:p w14:paraId="23B8B319" w14:textId="77777777" w:rsidR="009B0921" w:rsidRPr="00F245B2" w:rsidRDefault="009B0921" w:rsidP="009B0921">
      <w:pPr>
        <w:pStyle w:val="ListParagraph"/>
        <w:ind w:left="12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BB823F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A61">
        <w:rPr>
          <w:rFonts w:asciiTheme="minorHAnsi" w:hAnsiTheme="minorHAnsi" w:cstheme="minorHAnsi"/>
          <w:bCs/>
          <w:sz w:val="24"/>
          <w:szCs w:val="24"/>
        </w:rPr>
        <w:t xml:space="preserve">Caso haja aplicação de multa, o valor será descontado de qualquer fatura ou crédito existente na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9D7A61">
        <w:rPr>
          <w:rFonts w:asciiTheme="minorHAnsi" w:hAnsiTheme="minorHAnsi" w:cstheme="minorHAnsi"/>
          <w:bCs/>
          <w:sz w:val="24"/>
          <w:szCs w:val="24"/>
        </w:rPr>
        <w:t xml:space="preserve"> de Piracicaba em favor do FORNECEDOR. Caso a multa seja superior ao crédito eventualmente existente, a diferença será cobrada administrativamente, ou judicialmente, se necessário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5780A59E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A61">
        <w:rPr>
          <w:rFonts w:asciiTheme="minorHAnsi" w:hAnsiTheme="minorHAnsi" w:cstheme="minorHAnsi"/>
          <w:bCs/>
          <w:sz w:val="24"/>
          <w:szCs w:val="24"/>
        </w:rPr>
        <w:t xml:space="preserve">. 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9D7A61">
        <w:rPr>
          <w:rFonts w:asciiTheme="minorHAnsi" w:hAnsiTheme="minorHAnsi" w:cstheme="minorHAnsi"/>
          <w:bCs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D5E8C9D" w14:textId="77777777" w:rsidR="009B0921" w:rsidRPr="009D7A61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7A61">
        <w:rPr>
          <w:rFonts w:asciiTheme="minorHAnsi" w:hAnsiTheme="minorHAnsi" w:cstheme="minorHAnsi"/>
          <w:b/>
          <w:bCs/>
          <w:sz w:val="24"/>
          <w:szCs w:val="24"/>
        </w:rPr>
        <w:t>Cláusula Oitava – Reajuste</w:t>
      </w:r>
    </w:p>
    <w:p w14:paraId="2F456AA8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A61">
        <w:rPr>
          <w:rFonts w:asciiTheme="minorHAnsi" w:hAnsiTheme="minorHAnsi" w:cstheme="minorHAnsi"/>
          <w:bCs/>
          <w:sz w:val="24"/>
          <w:szCs w:val="24"/>
        </w:rPr>
        <w:t>O presente Contrato não sofrerá reajuste até o seu término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519802E" w14:textId="77777777" w:rsidR="009B0921" w:rsidRPr="009D7A61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7A61">
        <w:rPr>
          <w:rFonts w:asciiTheme="minorHAnsi" w:hAnsiTheme="minorHAnsi" w:cstheme="minorHAnsi"/>
          <w:b/>
          <w:bCs/>
          <w:sz w:val="24"/>
          <w:szCs w:val="24"/>
        </w:rPr>
        <w:t>Cláusula Nona – Rescisão</w:t>
      </w:r>
    </w:p>
    <w:p w14:paraId="0E5733B0" w14:textId="77777777" w:rsidR="009B092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A61">
        <w:rPr>
          <w:rFonts w:asciiTheme="minorHAnsi" w:hAnsiTheme="minorHAnsi" w:cstheme="minorHAnsi"/>
          <w:bCs/>
          <w:sz w:val="24"/>
          <w:szCs w:val="24"/>
        </w:rPr>
        <w:t>Independentemente de interpelação judicial, se a empresa Contratada não cumprir as Cláusulas do Contrato, poderá o mesmo ser rescindido a qualquer momento pela empresa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266ABA6" w14:textId="77777777" w:rsidR="009B0921" w:rsidRPr="009D7A61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7A61">
        <w:rPr>
          <w:rFonts w:asciiTheme="minorHAnsi" w:hAnsiTheme="minorHAnsi" w:cstheme="minorHAnsi"/>
          <w:b/>
          <w:bCs/>
          <w:sz w:val="24"/>
          <w:szCs w:val="24"/>
        </w:rPr>
        <w:t>Cláusula Décima – Sanções</w:t>
      </w:r>
    </w:p>
    <w:p w14:paraId="77D3C86E" w14:textId="77777777" w:rsidR="009B0921" w:rsidRDefault="009B0921" w:rsidP="009B0921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sz w:val="24"/>
          <w:szCs w:val="24"/>
        </w:rPr>
        <w:t>Pela inexecução total ou parcial da prestação de serviço objeto deste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Pregão, 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Piracicaba, poderá, garantida a prévia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defesa, aplicar à Vencedora as seguintes sanções:</w:t>
      </w:r>
    </w:p>
    <w:p w14:paraId="12BD2EF5" w14:textId="77777777" w:rsidR="009B0921" w:rsidRDefault="009B0921" w:rsidP="009B09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BF1E61" w14:textId="77777777" w:rsidR="009B0921" w:rsidRDefault="009B0921" w:rsidP="009B0921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4B4701">
        <w:rPr>
          <w:rFonts w:asciiTheme="minorHAnsi" w:hAnsiTheme="minorHAnsi" w:cstheme="minorHAnsi"/>
          <w:sz w:val="24"/>
          <w:szCs w:val="24"/>
        </w:rPr>
        <w:t xml:space="preserve"> Advertência;</w:t>
      </w:r>
    </w:p>
    <w:p w14:paraId="04FD63FB" w14:textId="77777777" w:rsidR="009B0921" w:rsidRDefault="009B0921" w:rsidP="009B0921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7F147AA" w14:textId="77777777" w:rsidR="009B0921" w:rsidRDefault="009B0921" w:rsidP="009B0921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</w:t>
      </w:r>
      <w:r w:rsidRPr="004B4701">
        <w:rPr>
          <w:rFonts w:asciiTheme="minorHAnsi" w:hAnsiTheme="minorHAnsi" w:cstheme="minorHAnsi"/>
          <w:sz w:val="24"/>
          <w:szCs w:val="24"/>
        </w:rPr>
        <w:t xml:space="preserve"> - Multa de 0,5% (zero vírgula cinco por cento) sobre o valor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contrato, por dia de atraso e por descumprimento das obrigações estabelecidas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no Edital do Pregão, sobre o valor do contrato, recolhida no prazo máximo de 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(quinze) dias corridos, uma vez comunicados oficialmente;</w:t>
      </w:r>
    </w:p>
    <w:p w14:paraId="4E56F011" w14:textId="77777777" w:rsidR="009B0921" w:rsidRDefault="009B0921" w:rsidP="009B0921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78449590" w14:textId="77777777" w:rsidR="009B0921" w:rsidRDefault="009B0921" w:rsidP="009B0921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- M</w:t>
      </w:r>
      <w:r w:rsidRPr="004B4701">
        <w:rPr>
          <w:rFonts w:asciiTheme="minorHAnsi" w:hAnsiTheme="minorHAnsi" w:cstheme="minorHAnsi"/>
          <w:sz w:val="24"/>
          <w:szCs w:val="24"/>
        </w:rPr>
        <w:t>ulta de 20% (vinte por cento) sobre o valor do contrato, no caso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inexecução total ou parcial do contrato, recolhida no prazo de 15 (quinze) dias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corridos, contado da comunicação oficial, sem embargo de indenização 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 pela 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execução parcial ou total do contrato;</w:t>
      </w:r>
    </w:p>
    <w:p w14:paraId="7A2AA9E6" w14:textId="77777777" w:rsidR="009B0921" w:rsidRDefault="009B0921" w:rsidP="009B0921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51C4CEAB" w14:textId="77777777" w:rsidR="009B0921" w:rsidRDefault="009B0921" w:rsidP="009B0921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b/>
          <w:sz w:val="24"/>
          <w:szCs w:val="24"/>
        </w:rPr>
        <w:t>IV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Impedimento de licitar</w:t>
      </w:r>
      <w:r w:rsidRPr="004B4701">
        <w:rPr>
          <w:rFonts w:asciiTheme="minorHAnsi" w:hAnsiTheme="minorHAnsi" w:cstheme="minorHAnsi"/>
          <w:sz w:val="24"/>
          <w:szCs w:val="24"/>
        </w:rPr>
        <w:t xml:space="preserve"> 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contratar com a Administração, por prazo não superior a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4B4701">
        <w:rPr>
          <w:rFonts w:asciiTheme="minorHAnsi" w:hAnsiTheme="minorHAnsi" w:cstheme="minorHAnsi"/>
          <w:sz w:val="24"/>
          <w:szCs w:val="24"/>
        </w:rPr>
        <w:t xml:space="preserve"> (dois) anos;</w:t>
      </w:r>
    </w:p>
    <w:p w14:paraId="0639688A" w14:textId="77777777" w:rsidR="009B0921" w:rsidRDefault="009B0921" w:rsidP="009B0921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636C379E" w14:textId="77777777" w:rsidR="009B0921" w:rsidRDefault="009B0921" w:rsidP="009B0921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sz w:val="24"/>
          <w:szCs w:val="24"/>
        </w:rPr>
        <w:t>As sanções previstas no inciso I e IV do subitem 14.1 poderão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aplicadas juntamente com as dos incisos II ou III, facultada a defesa prévia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interessado, no respectivo processo, no prazo de 05 (cinco) dias úteis;</w:t>
      </w:r>
    </w:p>
    <w:p w14:paraId="499E9F29" w14:textId="77777777" w:rsidR="009B0921" w:rsidRDefault="009B0921" w:rsidP="009B09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5D5D0F" w14:textId="40F0F551" w:rsidR="009B0921" w:rsidRPr="009B0921" w:rsidRDefault="009B0921" w:rsidP="009B0921">
      <w:pPr>
        <w:pStyle w:val="ListParagraph"/>
        <w:numPr>
          <w:ilvl w:val="1"/>
          <w:numId w:val="2"/>
        </w:numPr>
        <w:spacing w:after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B0921">
        <w:rPr>
          <w:rFonts w:asciiTheme="minorHAnsi" w:hAnsiTheme="minorHAnsi" w:cstheme="minorHAnsi"/>
          <w:sz w:val="24"/>
          <w:szCs w:val="24"/>
        </w:rPr>
        <w:t>As penalidades serão obrigatoriamente registradas na Câmara Municipal de Piracicaba, no caso de suspensão de licitar, o licitante deverá ser descredenciado por igual período, sem prejuízos das multas previstas no Edital e nas demais cominações legais.</w:t>
      </w:r>
    </w:p>
    <w:p w14:paraId="1DC7E9EF" w14:textId="77777777" w:rsidR="009B0921" w:rsidRPr="009D7A61" w:rsidRDefault="009B0921" w:rsidP="009B0921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7A61">
        <w:rPr>
          <w:rFonts w:asciiTheme="minorHAnsi" w:hAnsiTheme="minorHAnsi" w:cstheme="minorHAnsi"/>
          <w:b/>
          <w:bCs/>
          <w:sz w:val="24"/>
          <w:szCs w:val="24"/>
        </w:rPr>
        <w:t>Cláusula Décima Primeira – Disposições Gerais</w:t>
      </w:r>
    </w:p>
    <w:p w14:paraId="1966355E" w14:textId="77777777" w:rsidR="009B0921" w:rsidRPr="009D7A61" w:rsidRDefault="009B0921" w:rsidP="009B0921">
      <w:pPr>
        <w:pStyle w:val="ListParagraph"/>
        <w:numPr>
          <w:ilvl w:val="1"/>
          <w:numId w:val="2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A61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proofErr w:type="gramStart"/>
      <w:r w:rsidRPr="009D7A61">
        <w:rPr>
          <w:rFonts w:asciiTheme="minorHAnsi" w:hAnsiTheme="minorHAnsi" w:cstheme="minorHAnsi"/>
          <w:bCs/>
          <w:sz w:val="24"/>
          <w:szCs w:val="24"/>
        </w:rPr>
        <w:t>todas questões</w:t>
      </w:r>
      <w:proofErr w:type="gramEnd"/>
      <w:r w:rsidRPr="009D7A61">
        <w:rPr>
          <w:rFonts w:asciiTheme="minorHAnsi" w:hAnsiTheme="minorHAnsi" w:cstheme="minorHAnsi"/>
          <w:bCs/>
          <w:sz w:val="24"/>
          <w:szCs w:val="24"/>
        </w:rPr>
        <w:t xml:space="preserve"> suscitadas na execução do Contrato, não resolvidas administrativamente, fica eleito o foro da Comarca de Piracicaba, com renúncia expressa de qualquer outro, por mais privilegiado que seja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11A0BD4" w14:textId="77777777" w:rsidR="009B0921" w:rsidRDefault="009B0921" w:rsidP="009B0921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A61">
        <w:rPr>
          <w:rFonts w:asciiTheme="minorHAnsi" w:hAnsiTheme="minorHAnsi" w:cstheme="minorHAnsi"/>
          <w:bCs/>
          <w:sz w:val="24"/>
          <w:szCs w:val="24"/>
        </w:rPr>
        <w:t xml:space="preserve">E por estarem justas e contratadas, as partes assinam o presente instrumento particular de contrato em 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9D7A61">
        <w:rPr>
          <w:rFonts w:asciiTheme="minorHAnsi" w:hAnsiTheme="minorHAnsi" w:cstheme="minorHAnsi"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Cs/>
          <w:sz w:val="24"/>
          <w:szCs w:val="24"/>
        </w:rPr>
        <w:t>três</w:t>
      </w:r>
      <w:r w:rsidRPr="009D7A61">
        <w:rPr>
          <w:rFonts w:asciiTheme="minorHAnsi" w:hAnsiTheme="minorHAnsi" w:cstheme="minorHAnsi"/>
          <w:bCs/>
          <w:sz w:val="24"/>
          <w:szCs w:val="24"/>
        </w:rPr>
        <w:t>) vias de igual teor, forma e efeito, com todas as folhas devidamente rubricadas</w:t>
      </w:r>
    </w:p>
    <w:p w14:paraId="5F446BBA" w14:textId="499B617C" w:rsidR="009B0921" w:rsidRDefault="009B0921" w:rsidP="009B0921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Piracicaba, 2 de janeiro de 2023</w:t>
      </w:r>
    </w:p>
    <w:p w14:paraId="4E6918D2" w14:textId="77777777" w:rsidR="009B0921" w:rsidRDefault="009B0921" w:rsidP="009B0921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E5A2C0" w14:textId="7E87AFE0" w:rsidR="009B0921" w:rsidRDefault="009B0921" w:rsidP="009B0921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A61">
        <w:rPr>
          <w:rFonts w:asciiTheme="minorHAnsi" w:hAnsiTheme="minorHAnsi" w:cstheme="minorHAnsi"/>
          <w:b/>
          <w:bCs/>
          <w:sz w:val="24"/>
          <w:szCs w:val="24"/>
        </w:rPr>
        <w:t>CONTRATANTE</w:t>
      </w:r>
    </w:p>
    <w:p w14:paraId="367326AD" w14:textId="0ACD3A41" w:rsidR="009B0921" w:rsidRPr="009D7A61" w:rsidRDefault="00E156D7" w:rsidP="009B0921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Wagner Alexandre de Oliveira</w:t>
      </w:r>
    </w:p>
    <w:p w14:paraId="2AA17F6F" w14:textId="77777777" w:rsidR="009B0921" w:rsidRPr="009D7A61" w:rsidRDefault="009B0921" w:rsidP="009B0921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A61">
        <w:rPr>
          <w:rFonts w:asciiTheme="minorHAnsi" w:hAnsiTheme="minorHAnsi" w:cstheme="minorHAnsi"/>
          <w:b/>
          <w:bCs/>
          <w:sz w:val="24"/>
          <w:szCs w:val="24"/>
        </w:rPr>
        <w:t xml:space="preserve">Presidente da Câmara </w:t>
      </w:r>
      <w:r>
        <w:rPr>
          <w:rFonts w:asciiTheme="minorHAnsi" w:hAnsiTheme="minorHAnsi" w:cstheme="minorHAnsi"/>
          <w:b/>
          <w:bCs/>
          <w:sz w:val="24"/>
          <w:szCs w:val="24"/>
        </w:rPr>
        <w:t>Municipal</w:t>
      </w:r>
      <w:r w:rsidRPr="009D7A61">
        <w:rPr>
          <w:rFonts w:asciiTheme="minorHAnsi" w:hAnsiTheme="minorHAnsi" w:cstheme="minorHAnsi"/>
          <w:b/>
          <w:bCs/>
          <w:sz w:val="24"/>
          <w:szCs w:val="24"/>
        </w:rPr>
        <w:t xml:space="preserve"> de Piracicaba</w:t>
      </w:r>
    </w:p>
    <w:p w14:paraId="10A29D71" w14:textId="77777777" w:rsidR="009B0921" w:rsidRPr="009D7A61" w:rsidRDefault="009B0921" w:rsidP="009B0921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5F2C3" w14:textId="77777777" w:rsidR="009B0921" w:rsidRPr="009D7A61" w:rsidRDefault="009B0921" w:rsidP="009B0921">
      <w:pPr>
        <w:spacing w:line="259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EECC7F" w14:textId="77777777" w:rsidR="009B0921" w:rsidRPr="009D7A61" w:rsidRDefault="009B0921" w:rsidP="009B0921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28240B" w14:textId="77777777" w:rsidR="009B0921" w:rsidRPr="009D7A61" w:rsidRDefault="009B0921" w:rsidP="009B0921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A61">
        <w:rPr>
          <w:rFonts w:asciiTheme="minorHAnsi" w:hAnsiTheme="minorHAnsi" w:cstheme="minorHAnsi"/>
          <w:b/>
          <w:bCs/>
          <w:sz w:val="24"/>
          <w:szCs w:val="24"/>
        </w:rPr>
        <w:t>CONTRATADA</w:t>
      </w:r>
    </w:p>
    <w:p w14:paraId="064760E1" w14:textId="289B77B3" w:rsidR="00D758F2" w:rsidRDefault="009B0921" w:rsidP="009B092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0921">
        <w:rPr>
          <w:rFonts w:asciiTheme="minorHAnsi" w:hAnsiTheme="minorHAnsi" w:cstheme="minorHAnsi"/>
          <w:b/>
          <w:bCs/>
          <w:sz w:val="24"/>
          <w:szCs w:val="24"/>
        </w:rPr>
        <w:t xml:space="preserve">Leandro </w:t>
      </w:r>
      <w:proofErr w:type="spellStart"/>
      <w:r w:rsidRPr="009B0921">
        <w:rPr>
          <w:rFonts w:asciiTheme="minorHAnsi" w:hAnsiTheme="minorHAnsi" w:cstheme="minorHAnsi"/>
          <w:b/>
          <w:bCs/>
          <w:sz w:val="24"/>
          <w:szCs w:val="24"/>
        </w:rPr>
        <w:t>Detoni</w:t>
      </w:r>
      <w:proofErr w:type="spellEnd"/>
      <w:r w:rsidRPr="009B0921">
        <w:rPr>
          <w:rFonts w:asciiTheme="minorHAnsi" w:hAnsiTheme="minorHAnsi" w:cstheme="minorHAnsi"/>
          <w:b/>
          <w:bCs/>
          <w:sz w:val="24"/>
          <w:szCs w:val="24"/>
        </w:rPr>
        <w:t xml:space="preserve"> Barbosa</w:t>
      </w:r>
    </w:p>
    <w:p w14:paraId="6F4BE577" w14:textId="768B50CD" w:rsidR="009B0921" w:rsidRDefault="009B0921" w:rsidP="009B0921">
      <w:pPr>
        <w:jc w:val="center"/>
      </w:pPr>
      <w:r>
        <w:rPr>
          <w:rFonts w:asciiTheme="minorHAnsi" w:hAnsiTheme="minorHAnsi" w:cstheme="minorHAnsi"/>
          <w:b/>
          <w:bCs/>
          <w:sz w:val="24"/>
          <w:szCs w:val="24"/>
        </w:rPr>
        <w:t>Artes e Manhas Comercio de Molduras LTDA</w:t>
      </w:r>
    </w:p>
    <w:sectPr w:rsidR="009B09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F896" w14:textId="77777777" w:rsidR="009B0921" w:rsidRDefault="009B0921" w:rsidP="009B0921">
      <w:r>
        <w:separator/>
      </w:r>
    </w:p>
  </w:endnote>
  <w:endnote w:type="continuationSeparator" w:id="0">
    <w:p w14:paraId="5BFE683A" w14:textId="77777777" w:rsidR="009B0921" w:rsidRDefault="009B0921" w:rsidP="009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CA09" w14:textId="77777777" w:rsidR="009B0921" w:rsidRDefault="009B0921" w:rsidP="009B0921">
      <w:r>
        <w:separator/>
      </w:r>
    </w:p>
  </w:footnote>
  <w:footnote w:type="continuationSeparator" w:id="0">
    <w:p w14:paraId="59EC4EC9" w14:textId="77777777" w:rsidR="009B0921" w:rsidRDefault="009B0921" w:rsidP="009B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9601" w14:textId="77777777" w:rsidR="009B0921" w:rsidRPr="00772005" w:rsidRDefault="009B0921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2C3EAB5" wp14:editId="3D605913">
          <wp:simplePos x="0" y="0"/>
          <wp:positionH relativeFrom="column">
            <wp:posOffset>-537210</wp:posOffset>
          </wp:positionH>
          <wp:positionV relativeFrom="paragraph">
            <wp:posOffset>-260985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4671621B" w14:textId="77777777" w:rsidR="009B0921" w:rsidRPr="00772005" w:rsidRDefault="009B0921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06CD7310" w14:textId="77777777" w:rsidR="009B0921" w:rsidRPr="00772005" w:rsidRDefault="009B0921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659DB676" w14:textId="77777777" w:rsidR="009B0921" w:rsidRDefault="009B0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1495"/>
    <w:multiLevelType w:val="multilevel"/>
    <w:tmpl w:val="0416001F"/>
    <w:styleLink w:val="Edital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3D7832"/>
    <w:multiLevelType w:val="multilevel"/>
    <w:tmpl w:val="0416001F"/>
    <w:numStyleLink w:val="Edital"/>
  </w:abstractNum>
  <w:abstractNum w:abstractNumId="2" w15:restartNumberingAfterBreak="0">
    <w:nsid w:val="77997081"/>
    <w:multiLevelType w:val="hybridMultilevel"/>
    <w:tmpl w:val="CCE2814C"/>
    <w:lvl w:ilvl="0" w:tplc="04160019">
      <w:start w:val="1"/>
      <w:numFmt w:val="lowerLetter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996375075">
    <w:abstractNumId w:val="0"/>
  </w:num>
  <w:num w:numId="2" w16cid:durableId="920720482">
    <w:abstractNumId w:val="1"/>
  </w:num>
  <w:num w:numId="3" w16cid:durableId="349263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67"/>
    <w:rsid w:val="0033489A"/>
    <w:rsid w:val="005B1E67"/>
    <w:rsid w:val="009B0921"/>
    <w:rsid w:val="00D2460A"/>
    <w:rsid w:val="00D758F2"/>
    <w:rsid w:val="00D76545"/>
    <w:rsid w:val="00E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6975"/>
  <w15:chartTrackingRefBased/>
  <w15:docId w15:val="{EB3686EF-21D6-49CE-B601-DAE2E0C6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21"/>
    <w:pPr>
      <w:ind w:left="720"/>
      <w:contextualSpacing/>
    </w:pPr>
  </w:style>
  <w:style w:type="numbering" w:customStyle="1" w:styleId="Edital">
    <w:name w:val="Edital"/>
    <w:uiPriority w:val="99"/>
    <w:rsid w:val="009B0921"/>
    <w:pPr>
      <w:numPr>
        <w:numId w:val="1"/>
      </w:numPr>
    </w:pPr>
  </w:style>
  <w:style w:type="table" w:styleId="TableGrid">
    <w:name w:val="Table Grid"/>
    <w:basedOn w:val="TableNormal"/>
    <w:uiPriority w:val="39"/>
    <w:rsid w:val="009B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9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B09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2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1160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5</cp:revision>
  <cp:lastPrinted>2023-01-02T17:20:00Z</cp:lastPrinted>
  <dcterms:created xsi:type="dcterms:W3CDTF">2023-01-02T11:39:00Z</dcterms:created>
  <dcterms:modified xsi:type="dcterms:W3CDTF">2023-01-05T17:06:00Z</dcterms:modified>
</cp:coreProperties>
</file>